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-342899</wp:posOffset>
                </wp:positionV>
                <wp:extent cx="4498975" cy="94805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96500" y="3305950"/>
                          <a:ext cx="4498975" cy="948055"/>
                          <a:chOff x="3096500" y="3305950"/>
                          <a:chExt cx="4499000" cy="1164475"/>
                        </a:xfrm>
                      </wpg:grpSpPr>
                      <wpg:grpSp>
                        <wpg:cNvGrpSpPr/>
                        <wpg:grpSpPr>
                          <a:xfrm>
                            <a:off x="3096513" y="3305973"/>
                            <a:ext cx="4498975" cy="948055"/>
                            <a:chOff x="984" y="860"/>
                            <a:chExt cx="5660" cy="1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84" y="860"/>
                              <a:ext cx="565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Crest2"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84" y="860"/>
                              <a:ext cx="171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2789" y="860"/>
                              <a:ext cx="3855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Government of Western Australia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Department of Education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North Metropolitan Education Region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PRIMARY EXTENSION AND CHALLENGE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PRIMARY EXTENSION AND CHALLENGE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4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-342899</wp:posOffset>
                </wp:positionV>
                <wp:extent cx="4498975" cy="948055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975" cy="948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PEAC Professional Learning Session Brief</w:t>
      </w:r>
    </w:p>
    <w:tbl>
      <w:tblPr>
        <w:tblStyle w:val="Table1"/>
        <w:tblW w:w="109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7"/>
        <w:gridCol w:w="8955"/>
        <w:tblGridChange w:id="0">
          <w:tblGrid>
            <w:gridCol w:w="1967"/>
            <w:gridCol w:w="895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Person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Details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Preferred Date/Time/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PL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32180" cy="269875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269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19810" cy="26987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269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58620" cy="26987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269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72820" cy="269875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269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58620" cy="269875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269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Staff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(accessing the session)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of Focus or Need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Information/ Details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Links to PEAC PL and Strategic/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Operational Plan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you intend to implement the Model of Professional Practice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complete and return to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claire.backhouse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@education.wa.edu.au</w:t>
        </w:r>
      </w:hyperlink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8" w:w="11906" w:orient="portrait"/>
      <w:pgMar w:bottom="426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21" Type="http://schemas.openxmlformats.org/officeDocument/2006/relationships/footer" Target="footer1.xm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mailto:claire.backhouse@education.wa.edu.au" TargetMode="External"/><Relationship Id="rId14" Type="http://schemas.openxmlformats.org/officeDocument/2006/relationships/hyperlink" Target="mailto:claire.backhouse@education.wa.edu.au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7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kSR+BFMX57+rBupG8ihtWwA87g==">CgMxLjA4AHIhMThINlVZR0RWQnR6QmdkSmRKdXZKVTVrRXIyeDY2cVhL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